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C7F" w:rsidRPr="00417C7F" w:rsidRDefault="00417C7F" w:rsidP="00417C7F">
      <w:pPr>
        <w:spacing w:after="0" w:line="240" w:lineRule="auto"/>
        <w:jc w:val="both"/>
        <w:rPr>
          <w:rFonts w:eastAsia="Calibri" w:cs="Times New Roman"/>
          <w:szCs w:val="28"/>
          <w:u w:color="000000"/>
          <w:lang w:val="pt-BR" w:eastAsia="en-GB"/>
        </w:rPr>
      </w:pPr>
      <w:bookmarkStart w:id="0" w:name="_Toc96885110"/>
      <w:bookmarkStart w:id="1" w:name="_Toc146465091"/>
      <w:r w:rsidRPr="00417C7F">
        <w:rPr>
          <w:rFonts w:eastAsia="Calibri" w:cs="Times New Roman"/>
          <w:b/>
          <w:sz w:val="24"/>
          <w:szCs w:val="24"/>
          <w:u w:color="000000"/>
          <w:lang w:val="pt-BR"/>
        </w:rPr>
        <w:t>TRƯỞNG BẢN</w:t>
      </w:r>
      <w:bookmarkEnd w:id="0"/>
      <w:r w:rsidRPr="00417C7F">
        <w:rPr>
          <w:rFonts w:eastAsia="Calibri" w:cs="Times New Roman"/>
          <w:sz w:val="24"/>
          <w:szCs w:val="24"/>
          <w:u w:color="000000"/>
          <w:lang w:val="pt-BR" w:eastAsia="en-GB"/>
        </w:rPr>
        <w:t xml:space="preserve">, </w:t>
      </w:r>
      <w:r w:rsidRPr="00417C7F">
        <w:rPr>
          <w:rFonts w:eastAsia="Calibri" w:cs="Times New Roman"/>
          <w:szCs w:val="28"/>
          <w:u w:color="000000"/>
          <w:lang w:val="pt-BR" w:eastAsia="en-GB"/>
        </w:rPr>
        <w:t>người đại diện chính thức cho đơn vị cư trú các dân tộc thiểu số ở miền núi phía Bắc, tương đương với thôn, làng của người Kinh, buôn, bon ở Tây Nguyên, sóc ở vùng người Khmer) ở trong các xã.</w:t>
      </w:r>
      <w:bookmarkEnd w:id="1"/>
    </w:p>
    <w:p w:rsidR="00417C7F" w:rsidRPr="00417C7F" w:rsidRDefault="00417C7F" w:rsidP="00417C7F">
      <w:pPr>
        <w:spacing w:after="0" w:line="240" w:lineRule="auto"/>
        <w:jc w:val="both"/>
        <w:rPr>
          <w:rFonts w:eastAsia="Calibri" w:cs="Times New Roman"/>
          <w:sz w:val="24"/>
          <w:szCs w:val="24"/>
          <w:u w:color="000000"/>
          <w:lang w:val="pt-BR" w:eastAsia="en-GB"/>
        </w:rPr>
      </w:pPr>
      <w:r w:rsidRPr="00417C7F">
        <w:rPr>
          <w:rFonts w:eastAsia="Calibri" w:cs="Times New Roman"/>
          <w:szCs w:val="28"/>
          <w:u w:color="000000"/>
          <w:lang w:val="pt-BR" w:eastAsia="en-GB"/>
        </w:rPr>
        <w:tab/>
        <w:t xml:space="preserve">Về phương diện hành chính, TB tương đương với Trưởng thôn, làng, ấp, phum, sóc ở xã và Tổ trưởng tổ dân phố ở phường, thị trấn. </w:t>
      </w:r>
    </w:p>
    <w:p w:rsidR="00417C7F" w:rsidRPr="00417C7F" w:rsidRDefault="00417C7F" w:rsidP="00417C7F">
      <w:pPr>
        <w:spacing w:after="0" w:line="240" w:lineRule="auto"/>
        <w:jc w:val="both"/>
        <w:rPr>
          <w:rFonts w:eastAsia="Times New Roman" w:cs="Times New Roman"/>
          <w:spacing w:val="-6"/>
          <w:szCs w:val="28"/>
          <w:u w:color="000000"/>
          <w:lang w:val="pt-BR"/>
        </w:rPr>
      </w:pPr>
      <w:r w:rsidRPr="00417C7F">
        <w:rPr>
          <w:rFonts w:eastAsia="Times New Roman" w:cs="Times New Roman"/>
          <w:szCs w:val="28"/>
          <w:u w:color="000000"/>
          <w:lang w:val="pt-BR"/>
        </w:rPr>
        <w:t xml:space="preserve">     </w:t>
      </w:r>
      <w:r w:rsidRPr="00417C7F">
        <w:rPr>
          <w:rFonts w:eastAsia="Times New Roman" w:cs="Times New Roman"/>
          <w:spacing w:val="-6"/>
          <w:szCs w:val="28"/>
          <w:u w:color="000000"/>
          <w:lang w:val="pt-BR"/>
        </w:rPr>
        <w:t xml:space="preserve">   TB do người dân trong bản trực tiếp bầu ra tại hội nghị của bản, nhiệm kỳ là 2,5 hoặc 5 năm, do Ủy ban nhân dân cấp tỉnh quy định thống nhất, phù hợp với điều kiện địa phương. Trường hợp thành lập bản mới, hoặc khuyết TB thì Chủ tịch Ủy ban nhân dân xã quyết định cử TB lâm thời, thời hạn không quá sáu tháng. </w:t>
      </w:r>
    </w:p>
    <w:p w:rsidR="00417C7F" w:rsidRPr="00417C7F" w:rsidRDefault="00417C7F" w:rsidP="00417C7F">
      <w:pPr>
        <w:spacing w:after="0" w:line="240" w:lineRule="auto"/>
        <w:jc w:val="both"/>
        <w:rPr>
          <w:rFonts w:eastAsia="Times New Roman" w:cs="Times New Roman"/>
          <w:szCs w:val="28"/>
          <w:u w:color="000000"/>
          <w:lang w:val="vi-VN"/>
        </w:rPr>
      </w:pPr>
      <w:r w:rsidRPr="00417C7F">
        <w:rPr>
          <w:rFonts w:eastAsia="Times New Roman" w:cs="Times New Roman"/>
          <w:szCs w:val="28"/>
          <w:u w:color="000000"/>
          <w:lang w:val="pt-BR"/>
        </w:rPr>
        <w:t xml:space="preserve">        Quy trình bầu, miễn nhiệm, bãi nhiệm TB: 1)</w:t>
      </w:r>
      <w:r w:rsidRPr="00417C7F">
        <w:rPr>
          <w:rFonts w:eastAsia="Times New Roman" w:cs="Times New Roman"/>
          <w:szCs w:val="28"/>
          <w:u w:color="000000"/>
          <w:lang w:val="vi-VN"/>
        </w:rPr>
        <w:t xml:space="preserve"> Trên cơ sở thống nhất với chi ủy chi bộ, Ban công tác Mặt trận </w:t>
      </w:r>
      <w:r w:rsidRPr="00417C7F">
        <w:rPr>
          <w:rFonts w:eastAsia="Times New Roman" w:cs="Times New Roman"/>
          <w:szCs w:val="28"/>
          <w:u w:color="000000"/>
          <w:lang w:val="pt-BR"/>
        </w:rPr>
        <w:t xml:space="preserve">bản </w:t>
      </w:r>
      <w:r w:rsidRPr="00417C7F">
        <w:rPr>
          <w:rFonts w:eastAsia="Times New Roman" w:cs="Times New Roman"/>
          <w:szCs w:val="28"/>
          <w:u w:color="000000"/>
          <w:lang w:val="vi-VN"/>
        </w:rPr>
        <w:t xml:space="preserve">đề cử danh sách để Hội nghị của </w:t>
      </w:r>
      <w:r w:rsidRPr="00417C7F">
        <w:rPr>
          <w:rFonts w:eastAsia="Times New Roman" w:cs="Times New Roman"/>
          <w:szCs w:val="28"/>
          <w:u w:color="000000"/>
          <w:lang w:val="pt-BR"/>
        </w:rPr>
        <w:t>bản bầu TB</w:t>
      </w:r>
      <w:r w:rsidRPr="00417C7F">
        <w:rPr>
          <w:rFonts w:eastAsia="Times New Roman" w:cs="Times New Roman"/>
          <w:szCs w:val="28"/>
          <w:u w:color="000000"/>
          <w:lang w:val="vi-VN"/>
        </w:rPr>
        <w:t>; tại hội nghị, cử tri có thể tự ứng cử hoặc giới thiệu người ứng cử. Căn cứ kết quả bầu cử, Ủy ban nhân dân xã quyết định công nhận TB. Thời điểm tổ chức bầu được thực hiện theo quy định của Ủy ban nhân dân cấp tỉnh; 2) Thực hiện theo các quy định của pháp luật về dân chủ ở cơ sở.</w:t>
      </w:r>
    </w:p>
    <w:p w:rsidR="00417C7F" w:rsidRPr="00417C7F" w:rsidRDefault="00417C7F" w:rsidP="00417C7F">
      <w:pPr>
        <w:spacing w:after="0" w:line="240" w:lineRule="auto"/>
        <w:ind w:firstLine="720"/>
        <w:jc w:val="both"/>
        <w:rPr>
          <w:rFonts w:eastAsia="Times New Roman" w:cs="Times New Roman"/>
          <w:szCs w:val="28"/>
          <w:u w:color="000000"/>
          <w:lang w:val="vi-VN"/>
        </w:rPr>
      </w:pPr>
      <w:r w:rsidRPr="00417C7F">
        <w:rPr>
          <w:rFonts w:eastAsia="Times New Roman" w:cs="Times New Roman"/>
          <w:szCs w:val="28"/>
          <w:u w:color="000000"/>
          <w:lang w:val="vi-VN"/>
        </w:rPr>
        <w:t>Tiêu chuẩn TB: người có hộ khẩu thường trú và cư trú thường xuyên ở bản; đủ 21 tuổi trở lên, có sức khỏe, nhiệt tình và có tinh thần trách nhiệm; có phẩm chất chính trị và phẩm chất đạo đức tốt, được nhân dân tín nhiệm; bản thân và gia đình gương mẫu thực hiện đường lối, chủ trương của Đảng, chính sách, pháp luật của Nhà nước và các quy định của địa phương; có kiến thức văn hóa, năng lực, kinh nghiệm và phương pháp vận động, tổ chức nhân dân thực hiện tốt các công việc tự quản của cộng đồng dân cư và công việc cấp trên giao.</w:t>
      </w:r>
    </w:p>
    <w:p w:rsidR="00417C7F" w:rsidRPr="00417C7F" w:rsidRDefault="00417C7F" w:rsidP="00417C7F">
      <w:pPr>
        <w:spacing w:after="0" w:line="240" w:lineRule="auto"/>
        <w:ind w:firstLine="720"/>
        <w:jc w:val="both"/>
        <w:rPr>
          <w:rFonts w:eastAsia="Times New Roman" w:cs="Times New Roman"/>
          <w:szCs w:val="28"/>
          <w:u w:color="000000"/>
          <w:lang w:val="vi-VN"/>
        </w:rPr>
      </w:pPr>
      <w:r w:rsidRPr="00417C7F">
        <w:rPr>
          <w:rFonts w:eastAsia="Times New Roman" w:cs="Times New Roman"/>
          <w:szCs w:val="28"/>
          <w:u w:color="000000"/>
          <w:lang w:val="vi-VN"/>
        </w:rPr>
        <w:t>TB có các nhiệm vụ: 1) Triệu tập và chủ trì hội nghị bản; tổ chức thực hiện những công việc thuộc phạm vi bản đã được nhân dân bàn và quyết định; bảo đảm các nội dung hoạt động của bản theo quy định pháp luật; 2) Vận động, tổ chức nhân dân thực hiện tốt dân chủ ở cơ sở và hương ước, quy ước của bản đã được cơ quan có thẩm quyền phê duyệt; 3) Tập hợp, phản ánh, đề nghị chính quyền xã giải quyết những kiến nghị, nguyện vọng chính đáng của nhân dân trong bản. Báo cáo kịp thời với Ủy ban nhân dân xã về những hành vi vi phạm pháp</w:t>
      </w:r>
      <w:r w:rsidRPr="00417C7F">
        <w:rPr>
          <w:rFonts w:eastAsia="Times New Roman" w:cs="Times New Roman"/>
          <w:spacing w:val="-6"/>
          <w:szCs w:val="28"/>
          <w:u w:color="000000"/>
          <w:lang w:val="vi-VN"/>
        </w:rPr>
        <w:t xml:space="preserve"> luật trong bản; 4) Thực hiện việc lập biên bản về kết quả đã được nhân dân bản bàn và quyết định trực tiếp những công việc của bản; lập biên bản về kết quả đã được nhân dân bản bàn và biểu quyết những công việc thuộc phạm vi xã; báo cáo kết quả cho Chủ tịch Ủy ban nhân dân xã; 5) Phối hợp với Ban công tác Mặt trận và các tổ chức chính trị-xã hội ở bản để vận động nhân dân tham gia thực hiện các phong trào và cuộc vận động do các tổ chức này phát động; 6) Sáu thá</w:t>
      </w:r>
      <w:r w:rsidRPr="00417C7F">
        <w:rPr>
          <w:rFonts w:eastAsia="Times New Roman" w:cs="Times New Roman"/>
          <w:szCs w:val="28"/>
          <w:u w:color="000000"/>
          <w:lang w:val="vi-VN"/>
        </w:rPr>
        <w:t>ng đầu năm và cuối năm phải báo cáo kết quả công tác trước hội nghị bản.</w:t>
      </w:r>
    </w:p>
    <w:p w:rsidR="00417C7F" w:rsidRPr="00417C7F" w:rsidRDefault="00417C7F" w:rsidP="00417C7F">
      <w:pPr>
        <w:spacing w:after="0" w:line="240" w:lineRule="auto"/>
        <w:ind w:firstLine="720"/>
        <w:jc w:val="both"/>
        <w:rPr>
          <w:rFonts w:eastAsia="Times New Roman" w:cs="Times New Roman"/>
          <w:szCs w:val="28"/>
          <w:u w:color="000000"/>
          <w:lang w:val="vi-VN"/>
        </w:rPr>
      </w:pPr>
      <w:r w:rsidRPr="00417C7F">
        <w:rPr>
          <w:rFonts w:eastAsia="Times New Roman" w:cs="Times New Roman"/>
          <w:szCs w:val="28"/>
          <w:u w:color="000000"/>
          <w:lang w:val="vi-VN"/>
        </w:rPr>
        <w:t>TB các các quyền hạn: 1) Được ký hợp đồng về xây dựng công trình do nhân dân trong bản đóng góp kinh phí đầu tư đã được hội nghị bản thông qua và bảo đảm các quy định lien quan của chính quyền các cấp; 2) Được phân công nhiệm vụ giải quyết công việc cho Phó TB; được chính quyền xã mời họp và cung cấp thông tin, tài liệu liên quan đến quản lý, hoạt động của bản; được bồi dưỡng, tập huấn về công tác tổ chức và hoạt động của bản.</w:t>
      </w:r>
    </w:p>
    <w:p w:rsidR="00417C7F" w:rsidRPr="00417C7F" w:rsidRDefault="00417C7F" w:rsidP="00417C7F">
      <w:pPr>
        <w:spacing w:after="0" w:line="240" w:lineRule="auto"/>
        <w:jc w:val="both"/>
        <w:rPr>
          <w:rFonts w:eastAsia="Times New Roman" w:cs="Times New Roman"/>
          <w:sz w:val="26"/>
          <w:szCs w:val="26"/>
          <w:u w:color="000000"/>
          <w:lang w:val="vi-VN"/>
        </w:rPr>
      </w:pPr>
      <w:r w:rsidRPr="00417C7F">
        <w:rPr>
          <w:rFonts w:eastAsia="Times New Roman" w:cs="Times New Roman"/>
          <w:b/>
          <w:bCs/>
          <w:sz w:val="24"/>
          <w:szCs w:val="24"/>
          <w:u w:color="000000"/>
          <w:lang w:val="vi-VN"/>
        </w:rPr>
        <w:t xml:space="preserve">        </w:t>
      </w:r>
      <w:r w:rsidRPr="00417C7F">
        <w:rPr>
          <w:rFonts w:eastAsia="Times New Roman" w:cs="Times New Roman"/>
          <w:szCs w:val="28"/>
          <w:u w:color="000000"/>
          <w:lang w:val="vi-VN"/>
        </w:rPr>
        <w:t>TB</w:t>
      </w:r>
      <w:r w:rsidRPr="00417C7F">
        <w:rPr>
          <w:rFonts w:eastAsia="Times New Roman" w:cs="Times New Roman"/>
          <w:b/>
          <w:bCs/>
          <w:sz w:val="24"/>
          <w:szCs w:val="24"/>
          <w:u w:color="000000"/>
          <w:lang w:val="vi-VN"/>
        </w:rPr>
        <w:t xml:space="preserve"> </w:t>
      </w:r>
      <w:r w:rsidRPr="00417C7F">
        <w:rPr>
          <w:rFonts w:eastAsia="Times New Roman" w:cs="Times New Roman"/>
          <w:szCs w:val="28"/>
          <w:u w:color="000000"/>
          <w:lang w:val="vi-VN"/>
        </w:rPr>
        <w:t xml:space="preserve">được hưởng phụ cấp hằng tháng từ ngân sách Nhà nước theo mức khoán quỹ phụ cấp bằng 3,0 lần mức lương cơ sở để chi trả hằng tháng đối với TB, Bí thư Chi bộ và Trưởng Ban Công tác Mặt trận ở mỗi bản. Riêng đối với bản thuộc </w:t>
      </w:r>
      <w:r w:rsidRPr="00417C7F">
        <w:rPr>
          <w:rFonts w:eastAsia="Times New Roman" w:cs="Times New Roman"/>
          <w:szCs w:val="28"/>
          <w:u w:color="000000"/>
          <w:lang w:val="vi-VN"/>
        </w:rPr>
        <w:lastRenderedPageBreak/>
        <w:t>xã trọng điểm, phức tạp về an ninh, trật tự hoặc thuộc xã biên giới được khoán quỹ phụ cấp bằng 5,0 lần mức lương cơ sở.</w:t>
      </w:r>
      <w:r w:rsidRPr="00417C7F">
        <w:rPr>
          <w:rFonts w:eastAsia="Times New Roman" w:cs="Times New Roman"/>
          <w:sz w:val="26"/>
          <w:szCs w:val="26"/>
          <w:u w:color="000000"/>
          <w:lang w:val="vi-VN"/>
        </w:rPr>
        <w:t xml:space="preserve"> </w:t>
      </w:r>
    </w:p>
    <w:p w:rsidR="00417C7F" w:rsidRPr="00417C7F" w:rsidRDefault="00417C7F" w:rsidP="00417C7F">
      <w:pPr>
        <w:spacing w:after="0" w:line="240" w:lineRule="auto"/>
        <w:jc w:val="right"/>
        <w:textAlignment w:val="baseline"/>
        <w:rPr>
          <w:rFonts w:eastAsia="Calibri" w:cs="Times New Roman"/>
          <w:b/>
          <w:sz w:val="22"/>
          <w:u w:color="000000"/>
          <w:bdr w:val="none" w:sz="0" w:space="0" w:color="auto" w:frame="1"/>
          <w:lang w:val="vi-VN"/>
        </w:rPr>
      </w:pPr>
      <w:r w:rsidRPr="00417C7F">
        <w:rPr>
          <w:rFonts w:eastAsia="Calibri" w:cs="Times New Roman"/>
          <w:b/>
          <w:sz w:val="22"/>
          <w:u w:color="000000"/>
          <w:bdr w:val="none" w:sz="0" w:space="0" w:color="auto" w:frame="1"/>
          <w:lang w:val="vi-VN"/>
        </w:rPr>
        <w:t xml:space="preserve">NGUYỄN MINH PHƯƠNG   </w:t>
      </w:r>
    </w:p>
    <w:p w:rsidR="00417C7F" w:rsidRPr="00417C7F" w:rsidRDefault="00417C7F" w:rsidP="00417C7F">
      <w:pPr>
        <w:spacing w:after="0" w:line="240" w:lineRule="auto"/>
        <w:jc w:val="both"/>
        <w:textAlignment w:val="baseline"/>
        <w:rPr>
          <w:rFonts w:eastAsia="Calibri" w:cs="Times New Roman"/>
          <w:b/>
          <w:sz w:val="24"/>
          <w:szCs w:val="24"/>
          <w:u w:color="000000"/>
          <w:lang w:val="vi-VN"/>
        </w:rPr>
      </w:pPr>
      <w:r w:rsidRPr="00417C7F">
        <w:rPr>
          <w:rFonts w:eastAsia="Calibri" w:cs="Times New Roman"/>
          <w:b/>
          <w:sz w:val="24"/>
          <w:szCs w:val="24"/>
          <w:u w:color="000000"/>
          <w:lang w:val="vi-VN"/>
        </w:rPr>
        <w:t>Tài liệu tham khảo:</w:t>
      </w:r>
    </w:p>
    <w:p w:rsidR="00417C7F" w:rsidRPr="00417C7F" w:rsidRDefault="00417C7F" w:rsidP="00417C7F">
      <w:pPr>
        <w:shd w:val="clear" w:color="auto" w:fill="FFFFFF"/>
        <w:spacing w:after="0" w:line="240" w:lineRule="auto"/>
        <w:jc w:val="both"/>
        <w:rPr>
          <w:rFonts w:eastAsia="Arial Unicode MS" w:cs="Times New Roman"/>
          <w:iCs/>
          <w:sz w:val="24"/>
          <w:szCs w:val="24"/>
          <w:u w:color="000000"/>
          <w:lang w:val="vi-VN"/>
        </w:rPr>
      </w:pPr>
      <w:r w:rsidRPr="00417C7F">
        <w:rPr>
          <w:rFonts w:eastAsia="Arial Unicode MS" w:cs="Times New Roman"/>
          <w:iCs/>
          <w:sz w:val="24"/>
          <w:szCs w:val="24"/>
          <w:u w:color="000000"/>
          <w:lang w:val="vi-VN"/>
        </w:rPr>
        <w:t>1. Bộ Nội vụ, Thông tư số 04/2012/TT-BNV ngày 31/8/2012 của Bộ trưởng Bộ Nội vụ hướng dẫn về tổ chức và hoạt động của thôn, tổ dân phố.</w:t>
      </w:r>
    </w:p>
    <w:p w:rsidR="00417C7F" w:rsidRPr="00417C7F" w:rsidRDefault="00417C7F" w:rsidP="00417C7F">
      <w:pPr>
        <w:spacing w:after="0" w:line="240" w:lineRule="auto"/>
        <w:jc w:val="both"/>
        <w:rPr>
          <w:rFonts w:eastAsia="Arial Unicode MS" w:cs="Times New Roman"/>
          <w:iCs/>
          <w:sz w:val="24"/>
          <w:szCs w:val="24"/>
          <w:u w:color="000000"/>
          <w:lang w:val="vi-VN"/>
        </w:rPr>
      </w:pPr>
      <w:r w:rsidRPr="00417C7F">
        <w:rPr>
          <w:rFonts w:eastAsia="Arial Unicode MS" w:cs="Times New Roman"/>
          <w:iCs/>
          <w:sz w:val="24"/>
          <w:szCs w:val="24"/>
          <w:u w:color="000000"/>
          <w:lang w:val="vi-VN"/>
        </w:rPr>
        <w:t>2. Bộ Nội vụ, Thông tư số 14/2012/TT-BNV ngày 03/12/2018 sửa đổi, bổ sung một số điều của Thông tư số 04/2012/TT-BNV hướng dẫn về tổ chức và hoạt động của thôn, tổ dân phố.</w:t>
      </w:r>
    </w:p>
    <w:p w:rsidR="00417C7F" w:rsidRPr="00417C7F" w:rsidRDefault="00417C7F" w:rsidP="00417C7F">
      <w:pPr>
        <w:spacing w:after="0" w:line="240" w:lineRule="auto"/>
        <w:jc w:val="both"/>
        <w:rPr>
          <w:rFonts w:eastAsia="Calibri" w:cs="Times New Roman"/>
          <w:sz w:val="24"/>
          <w:szCs w:val="24"/>
          <w:u w:color="000000"/>
          <w:lang w:val="vi-VN"/>
        </w:rPr>
      </w:pPr>
      <w:r w:rsidRPr="00417C7F">
        <w:rPr>
          <w:rFonts w:eastAsia="Calibri" w:cs="Times New Roman"/>
          <w:sz w:val="24"/>
          <w:szCs w:val="24"/>
          <w:u w:color="000000"/>
          <w:lang w:val="vi-VN"/>
        </w:rPr>
        <w:t xml:space="preserve">3. Ngô Đức Thịnh, </w:t>
      </w:r>
      <w:r w:rsidRPr="00417C7F">
        <w:rPr>
          <w:rFonts w:eastAsia="Calibri" w:cs="Times New Roman"/>
          <w:i/>
          <w:sz w:val="24"/>
          <w:szCs w:val="24"/>
          <w:u w:color="000000"/>
          <w:lang w:val="vi-VN"/>
        </w:rPr>
        <w:t>Tìm hiểu luật tục các tộc người ở Việt Nam</w:t>
      </w:r>
      <w:r w:rsidRPr="00417C7F">
        <w:rPr>
          <w:rFonts w:eastAsia="Calibri" w:cs="Times New Roman"/>
          <w:sz w:val="24"/>
          <w:szCs w:val="24"/>
          <w:u w:color="000000"/>
          <w:lang w:val="vi-VN"/>
        </w:rPr>
        <w:t>, Nxb. Khoa học xã hội, Hà    Nội, 2003.</w:t>
      </w:r>
    </w:p>
    <w:p w:rsidR="00417C7F" w:rsidRPr="00417C7F" w:rsidRDefault="00417C7F" w:rsidP="00417C7F">
      <w:pPr>
        <w:spacing w:after="0" w:line="240" w:lineRule="auto"/>
        <w:jc w:val="both"/>
        <w:rPr>
          <w:rFonts w:eastAsia="Calibri" w:cs="Times New Roman"/>
          <w:sz w:val="24"/>
          <w:szCs w:val="24"/>
          <w:u w:color="000000"/>
          <w:lang w:val="vi-VN"/>
        </w:rPr>
      </w:pPr>
      <w:r w:rsidRPr="00417C7F">
        <w:rPr>
          <w:rFonts w:eastAsia="Calibri" w:cs="Times New Roman"/>
          <w:sz w:val="24"/>
          <w:szCs w:val="24"/>
          <w:u w:color="000000"/>
          <w:lang w:val="vi-VN"/>
        </w:rPr>
        <w:t xml:space="preserve">4. Trung tâm Từ điển học, </w:t>
      </w:r>
      <w:r w:rsidRPr="00417C7F">
        <w:rPr>
          <w:rFonts w:eastAsia="Calibri" w:cs="Times New Roman"/>
          <w:i/>
          <w:sz w:val="24"/>
          <w:szCs w:val="24"/>
          <w:u w:color="000000"/>
          <w:lang w:val="vi-VN"/>
        </w:rPr>
        <w:t>Từ điển Tiếng Việt</w:t>
      </w:r>
      <w:r w:rsidRPr="00417C7F">
        <w:rPr>
          <w:rFonts w:eastAsia="Calibri" w:cs="Times New Roman"/>
          <w:sz w:val="24"/>
          <w:szCs w:val="24"/>
          <w:u w:color="000000"/>
          <w:lang w:val="vi-VN"/>
        </w:rPr>
        <w:t>, Nxb. Đà Nẵng, 2007.</w:t>
      </w:r>
    </w:p>
    <w:p w:rsidR="00417C7F" w:rsidRPr="00417C7F" w:rsidRDefault="00417C7F" w:rsidP="00417C7F">
      <w:pPr>
        <w:widowControl w:val="0"/>
        <w:spacing w:after="0" w:line="240" w:lineRule="auto"/>
        <w:ind w:right="-242"/>
        <w:jc w:val="both"/>
        <w:outlineLvl w:val="0"/>
        <w:rPr>
          <w:rFonts w:eastAsia="MS Mincho" w:cs="Times New Roman"/>
          <w:sz w:val="26"/>
          <w:szCs w:val="26"/>
          <w:u w:color="000000"/>
          <w:lang w:val="vi-VN"/>
        </w:rPr>
      </w:pPr>
      <w:r w:rsidRPr="00417C7F">
        <w:rPr>
          <w:rFonts w:eastAsia="MS Mincho" w:cs="Times New Roman"/>
          <w:sz w:val="26"/>
          <w:szCs w:val="26"/>
          <w:u w:color="000000"/>
          <w:lang w:val="vi-VN"/>
        </w:rPr>
        <w:tab/>
      </w:r>
    </w:p>
    <w:p w:rsidR="00F3618D" w:rsidRDefault="00F3618D">
      <w:bookmarkStart w:id="2" w:name="_GoBack"/>
      <w:bookmarkEnd w:id="2"/>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7F"/>
    <w:rsid w:val="002133F0"/>
    <w:rsid w:val="00417C7F"/>
    <w:rsid w:val="004B574E"/>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98011-F9F2-441D-9766-F8C3C201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2025-12-08T03:53:00Z</dcterms:created>
  <dcterms:modified xsi:type="dcterms:W3CDTF">2025-12-08T03:53:00Z</dcterms:modified>
</cp:coreProperties>
</file>